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B1C29" w:rsidRDefault="003B1C29">
      <w:pPr>
        <w:spacing w:before="200"/>
      </w:pPr>
    </w:p>
    <w:p w14:paraId="754F8ECF" w14:textId="77777777" w:rsidR="003B1C29" w:rsidRDefault="007E429E">
      <w:pPr>
        <w:spacing w:after="80"/>
      </w:pPr>
      <w:r>
        <w:rPr>
          <w:b/>
          <w:bCs/>
          <w:color w:val="FBB13E"/>
          <w:sz w:val="48"/>
          <w:szCs w:val="48"/>
        </w:rPr>
        <w:t>The High-Growth Hiring Checklist</w:t>
      </w:r>
    </w:p>
    <w:p w14:paraId="1E2CFC36" w14:textId="1A757854" w:rsidR="003B1C29" w:rsidRDefault="2D65E77C">
      <w:pPr>
        <w:spacing w:after="40"/>
      </w:pPr>
      <w:r w:rsidRPr="2D65E77C">
        <w:rPr>
          <w:i/>
          <w:iCs/>
          <w:color w:val="636466"/>
          <w:sz w:val="24"/>
          <w:szCs w:val="24"/>
        </w:rPr>
        <w:t>An End-to-End Framework for Business Owners Ready to Build Teams That Perform Not Just Fill Seats</w:t>
      </w:r>
    </w:p>
    <w:p w14:paraId="0A37501D" w14:textId="77777777" w:rsidR="003B1C29" w:rsidRDefault="003B1C29">
      <w:pPr>
        <w:pBdr>
          <w:bottom w:val="single" w:sz="6" w:space="1" w:color="FBB13E"/>
        </w:pBdr>
        <w:spacing w:before="8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1C29" w14:paraId="6647434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4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3F528C5" w14:textId="77777777" w:rsidR="003B1C29" w:rsidRDefault="007E429E">
            <w:pPr>
              <w:spacing w:after="80"/>
            </w:pPr>
            <w:r>
              <w:rPr>
                <w:b/>
                <w:bCs/>
                <w:color w:val="C47D0A"/>
                <w:sz w:val="20"/>
                <w:szCs w:val="20"/>
              </w:rPr>
              <w:t>HOW TO USE THIS CHECKLIST</w:t>
            </w:r>
          </w:p>
          <w:p w14:paraId="03DBC0FA" w14:textId="77777777" w:rsidR="003B1C29" w:rsidRDefault="007E429E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Work through each phase of the hiring process in sequence. Each item includes a brief implementation note. Check each box as completed to ensure a consistent, compliant, and candidate-positive hiring experience every time you hire.</w:t>
            </w:r>
          </w:p>
        </w:tc>
      </w:tr>
    </w:tbl>
    <w:p w14:paraId="5DAB6C7B" w14:textId="77777777" w:rsidR="003B1C29" w:rsidRDefault="003B1C2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3B1C29" w14:paraId="646E24CB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123FAAE" w14:textId="79BDA95B" w:rsidR="003B1C29" w:rsidRDefault="007E429E">
            <w:r>
              <w:rPr>
                <w:b/>
                <w:bCs/>
                <w:color w:val="FFFFFF"/>
                <w:sz w:val="24"/>
                <w:szCs w:val="24"/>
              </w:rPr>
              <w:t xml:space="preserve">PHASE 1: ROLE DEFINITION </w:t>
            </w:r>
            <w:r w:rsidR="00A41930">
              <w:rPr>
                <w:b/>
                <w:bCs/>
                <w:color w:val="FFFFFF"/>
                <w:sz w:val="24"/>
                <w:szCs w:val="24"/>
              </w:rPr>
              <w:t>-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Before You Post Anything</w:t>
            </w:r>
          </w:p>
        </w:tc>
      </w:tr>
      <w:tr w:rsidR="003B1C29" w14:paraId="413654B4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D1C84E6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25CBD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Define the business case for this hire</w:t>
            </w:r>
          </w:p>
          <w:p w14:paraId="2CD0EF43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What specific outcomes justify this hire? What problem does it solve or what revenue does it enable?</w:t>
            </w:r>
          </w:p>
        </w:tc>
      </w:tr>
      <w:tr w:rsidR="003B1C29" w14:paraId="0FE36E7B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2DD878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0B40D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Write an </w:t>
            </w:r>
            <w:proofErr w:type="gramStart"/>
            <w:r>
              <w:rPr>
                <w:b/>
                <w:bCs/>
                <w:color w:val="1A1A1A"/>
                <w:sz w:val="20"/>
                <w:szCs w:val="20"/>
              </w:rPr>
              <w:t>outcomes</w:t>
            </w:r>
            <w:proofErr w:type="gramEnd"/>
            <w:r>
              <w:rPr>
                <w:b/>
                <w:bCs/>
                <w:color w:val="1A1A1A"/>
                <w:sz w:val="20"/>
                <w:szCs w:val="20"/>
              </w:rPr>
              <w:t>-based job description</w:t>
            </w:r>
          </w:p>
          <w:p w14:paraId="3E4F995A" w14:textId="7D8661A8" w:rsidR="003B1C29" w:rsidRDefault="2D65E77C">
            <w:proofErr w:type="gramStart"/>
            <w:r w:rsidRPr="2D65E77C">
              <w:rPr>
                <w:i/>
                <w:iCs/>
                <w:color w:val="636466"/>
                <w:sz w:val="18"/>
                <w:szCs w:val="18"/>
              </w:rPr>
              <w:t>List</w:t>
            </w:r>
            <w:proofErr w:type="gramEnd"/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 what success looks like at 30, 60, and 90 days not just a task list</w:t>
            </w:r>
          </w:p>
        </w:tc>
      </w:tr>
      <w:tr w:rsidR="003B1C29" w14:paraId="39B49896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053F9D1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988CC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Separate non-negotiable vs. preferred qualifications</w:t>
            </w:r>
          </w:p>
          <w:p w14:paraId="770F58A4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Distinguish must-haves from nice-to-haves to avoid unnecessarily narrowing your candidate pool</w:t>
            </w:r>
          </w:p>
        </w:tc>
      </w:tr>
      <w:tr w:rsidR="003B1C29" w14:paraId="39E01FB2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4E8EB90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BB4F8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Define the FLSA classification (exempt or non-exempt)</w:t>
            </w:r>
          </w:p>
          <w:p w14:paraId="629CDD1C" w14:textId="497138D9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This determines overtime eligibility misclassification carries significant legal risk</w:t>
            </w:r>
          </w:p>
        </w:tc>
      </w:tr>
      <w:tr w:rsidR="003B1C29" w14:paraId="6354F1E9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51D0424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66DD7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Set the compensation range based on market data</w:t>
            </w:r>
          </w:p>
          <w:p w14:paraId="130CF586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Research: industry benchmarks, geographic market, company stage, and internal equity</w:t>
            </w:r>
          </w:p>
        </w:tc>
      </w:tr>
      <w:tr w:rsidR="003B1C29" w14:paraId="558A0131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18A20AE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DC129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Define the reporting structure and team integration</w:t>
            </w:r>
          </w:p>
          <w:p w14:paraId="0B9E7C7A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Who does this role report to? Who does it collaborate with closely? What does integration look like?</w:t>
            </w:r>
          </w:p>
        </w:tc>
      </w:tr>
      <w:tr w:rsidR="003B1C29" w14:paraId="2BAD5A46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027F543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F5060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Get leadership alignment before posting</w:t>
            </w:r>
          </w:p>
          <w:p w14:paraId="49A59724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Ensure the hiring manager, budget owner, and leadership team are aligned on the role definition and expectations</w:t>
            </w:r>
          </w:p>
        </w:tc>
      </w:tr>
    </w:tbl>
    <w:p w14:paraId="02EB378F" w14:textId="77777777" w:rsidR="003B1C29" w:rsidRDefault="003B1C2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3B1C29" w14:paraId="686AD124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E452DF" w14:textId="77777777" w:rsidR="003B1C29" w:rsidRDefault="007E429E">
            <w:r>
              <w:rPr>
                <w:b/>
                <w:bCs/>
                <w:color w:val="FFFFFF"/>
                <w:sz w:val="24"/>
                <w:szCs w:val="24"/>
              </w:rPr>
              <w:t>PHASE 2: SOURCING &amp; CANDIDATE ATTRACTION</w:t>
            </w:r>
          </w:p>
        </w:tc>
      </w:tr>
      <w:tr w:rsidR="003B1C29" w14:paraId="732ACDD3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BF29469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3C8E9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Write a job posting that markets the role, not just describes it</w:t>
            </w:r>
          </w:p>
          <w:p w14:paraId="69AC2F33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Open with your value proposition as an employer. Why would a top performer choose you?</w:t>
            </w:r>
          </w:p>
        </w:tc>
      </w:tr>
      <w:tr w:rsidR="003B1C29" w14:paraId="298AF308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C9F31AF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9BD93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Select sourcing channels strategically</w:t>
            </w:r>
          </w:p>
          <w:p w14:paraId="6D9B4DA3" w14:textId="6FDC417C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LinkedIn, </w:t>
            </w:r>
            <w:proofErr w:type="gramStart"/>
            <w:r w:rsidRPr="2D65E77C">
              <w:rPr>
                <w:i/>
                <w:iCs/>
                <w:color w:val="636466"/>
                <w:sz w:val="18"/>
                <w:szCs w:val="18"/>
              </w:rPr>
              <w:t>Indeed</w:t>
            </w:r>
            <w:proofErr w:type="gramEnd"/>
            <w:r w:rsidRPr="2D65E77C">
              <w:rPr>
                <w:i/>
                <w:iCs/>
                <w:color w:val="636466"/>
                <w:sz w:val="18"/>
                <w:szCs w:val="18"/>
              </w:rPr>
              <w:t>, niche job boards, professional associations, employee referrals match channel to candidate profile</w:t>
            </w:r>
          </w:p>
        </w:tc>
      </w:tr>
      <w:tr w:rsidR="003B1C29" w14:paraId="3494CF8F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7B3579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EB1E1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Define your target candidate profile in writing</w:t>
            </w:r>
          </w:p>
          <w:p w14:paraId="3994BBC0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Document the experience, skills, and cultural attributes you are specifically looking for before you start reviewing</w:t>
            </w:r>
          </w:p>
        </w:tc>
      </w:tr>
      <w:tr w:rsidR="003B1C29" w14:paraId="6A359887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DBDC598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3488C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Activate your employee referral network</w:t>
            </w:r>
          </w:p>
          <w:p w14:paraId="46FAB28C" w14:textId="2B778738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Your best employees often know more great people make the ask intentional and specific</w:t>
            </w:r>
          </w:p>
        </w:tc>
      </w:tr>
      <w:tr w:rsidR="003B1C29" w14:paraId="54ABDF45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DF819B1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lastRenderedPageBreak/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BE963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Ensure all job postings are inclusive and legally compliant</w:t>
            </w:r>
          </w:p>
          <w:p w14:paraId="5AD6E618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No age, gender, or other protected-class-suggestive language; accessible application process</w:t>
            </w:r>
          </w:p>
        </w:tc>
      </w:tr>
      <w:tr w:rsidR="003B1C29" w14:paraId="67FA0400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ADA9296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28EA7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Set a target response time for applicants</w:t>
            </w:r>
          </w:p>
          <w:p w14:paraId="57B3ACBF" w14:textId="3A5A54B5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Top candidates are off the market fast commit to a response timeline and communicate it</w:t>
            </w:r>
          </w:p>
        </w:tc>
      </w:tr>
    </w:tbl>
    <w:p w14:paraId="6A05A809" w14:textId="77777777" w:rsidR="003B1C29" w:rsidRDefault="003B1C2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3B1C29" w14:paraId="37D9A80E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86A4486" w14:textId="77777777" w:rsidR="003B1C29" w:rsidRDefault="007E429E">
            <w:r>
              <w:rPr>
                <w:b/>
                <w:bCs/>
                <w:color w:val="FFFFFF"/>
                <w:sz w:val="24"/>
                <w:szCs w:val="24"/>
              </w:rPr>
              <w:t>PHASE 3: SCREENING &amp; INTERVIEW PROCESS</w:t>
            </w:r>
          </w:p>
        </w:tc>
      </w:tr>
      <w:tr w:rsidR="003B1C29" w14:paraId="57876F1E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D01D3DE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669BA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Create a consistent phone screen template</w:t>
            </w:r>
          </w:p>
          <w:p w14:paraId="05F98EF7" w14:textId="77777777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5–7 qualifying questions that assess minimum requirements for every candidate before advancing</w:t>
            </w:r>
          </w:p>
        </w:tc>
      </w:tr>
      <w:tr w:rsidR="003B1C29" w14:paraId="3F2EC0DF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A3B6897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4A699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Design a structured interview guide</w:t>
            </w:r>
          </w:p>
          <w:p w14:paraId="587CB0FD" w14:textId="4441C4FE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Standardized, role-relevant behavioral interview questions for every interviewer consistency reduces bias and improves decisions</w:t>
            </w:r>
          </w:p>
        </w:tc>
      </w:tr>
      <w:tr w:rsidR="003B1C29" w14:paraId="70B672F9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45270B7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628CE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Brief all interviewers on legally off-limits questions</w:t>
            </w:r>
          </w:p>
          <w:p w14:paraId="6A15C11C" w14:textId="77777777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Topics to </w:t>
            </w:r>
            <w:proofErr w:type="gramStart"/>
            <w:r w:rsidRPr="2D65E77C">
              <w:rPr>
                <w:i/>
                <w:iCs/>
                <w:color w:val="636466"/>
                <w:sz w:val="18"/>
                <w:szCs w:val="18"/>
              </w:rPr>
              <w:t>avoid:</w:t>
            </w:r>
            <w:proofErr w:type="gramEnd"/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 age, race, religion, national origin, disability, pregnancy, marital status, family plans</w:t>
            </w:r>
          </w:p>
        </w:tc>
      </w:tr>
      <w:tr w:rsidR="003B1C29" w14:paraId="14E1D3C3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6205D4F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597C8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Assign a clear decision-making process before interviews begin</w:t>
            </w:r>
          </w:p>
          <w:p w14:paraId="675ABD74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Who has final authority? Who provides input? How is the debrief structured?</w:t>
            </w:r>
          </w:p>
        </w:tc>
      </w:tr>
      <w:tr w:rsidR="003B1C29" w14:paraId="626391F2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8E0D061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100F4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Use a candidate scorecard</w:t>
            </w:r>
          </w:p>
          <w:p w14:paraId="6CCC7E07" w14:textId="6794ADB6" w:rsidR="003B1C29" w:rsidRDefault="2D65E77C">
            <w:proofErr w:type="gramStart"/>
            <w:r w:rsidRPr="2D65E77C">
              <w:rPr>
                <w:i/>
                <w:iCs/>
                <w:color w:val="636466"/>
                <w:sz w:val="18"/>
                <w:szCs w:val="18"/>
              </w:rPr>
              <w:t>Evaluate</w:t>
            </w:r>
            <w:proofErr w:type="gramEnd"/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 all candidates against the same defined criteria eliminates gut-feel bias from hiring decisions</w:t>
            </w:r>
          </w:p>
        </w:tc>
      </w:tr>
      <w:tr w:rsidR="003B1C29" w14:paraId="7D1D8B69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B5592F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3FE06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Schedule a structured debrief within 24 hours of final interviews</w:t>
            </w:r>
          </w:p>
          <w:p w14:paraId="53AB69F5" w14:textId="3EE01528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While impressions are fresh use the scorecard as the foundation, not individual opinion</w:t>
            </w:r>
          </w:p>
        </w:tc>
      </w:tr>
    </w:tbl>
    <w:p w14:paraId="5A39BBE3" w14:textId="77777777" w:rsidR="003B1C29" w:rsidRDefault="003B1C2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3B1C29" w14:paraId="0E4E8BCD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8EC91D" w14:textId="77777777" w:rsidR="003B1C29" w:rsidRDefault="007E429E">
            <w:r>
              <w:rPr>
                <w:b/>
                <w:bCs/>
                <w:color w:val="FFFFFF"/>
                <w:sz w:val="24"/>
                <w:szCs w:val="24"/>
              </w:rPr>
              <w:t>PHASE 4: OFFER &amp; CLOSE</w:t>
            </w:r>
          </w:p>
        </w:tc>
      </w:tr>
      <w:tr w:rsidR="003B1C29" w14:paraId="3440A563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B61044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FD449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Confirm compensation against market benchmarks and internal equity one final time</w:t>
            </w:r>
          </w:p>
          <w:p w14:paraId="7A576488" w14:textId="52097D4E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Before extending the offer ensure it is competitive, equitable, and defensible</w:t>
            </w:r>
          </w:p>
        </w:tc>
      </w:tr>
      <w:tr w:rsidR="003B1C29" w14:paraId="0EC07987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01105B3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83431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Prepare a legally reviewed offer letter template</w:t>
            </w:r>
          </w:p>
          <w:p w14:paraId="252FA05C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Includes: role title, start date, compensation, at-will language, contingencies (background check, etc.)</w:t>
            </w:r>
          </w:p>
        </w:tc>
      </w:tr>
      <w:tr w:rsidR="003B1C29" w14:paraId="6E4D8E08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AEC62B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25540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Be prepared for negotiation</w:t>
            </w:r>
          </w:p>
          <w:p w14:paraId="7C84D61E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Know your flex range before the call. What can you move on? Salary, start date, sign-on, remote flexibility?</w:t>
            </w:r>
          </w:p>
        </w:tc>
      </w:tr>
      <w:tr w:rsidR="003B1C29" w14:paraId="5C11FFC6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88EE0E5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16316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Set a clear offer deadline</w:t>
            </w:r>
          </w:p>
          <w:p w14:paraId="1884E359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Keeps your process moving and signals organizational professionalism</w:t>
            </w:r>
          </w:p>
        </w:tc>
      </w:tr>
      <w:tr w:rsidR="003B1C29" w14:paraId="0AA288C5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9D89F3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03AE9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Have a strong decline process ready</w:t>
            </w:r>
          </w:p>
          <w:p w14:paraId="58B6FAA6" w14:textId="39A1B384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Thank declined candidates professionally your next great hire may know them</w:t>
            </w:r>
          </w:p>
        </w:tc>
      </w:tr>
      <w:tr w:rsidR="003B1C29" w14:paraId="73ABD5F0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B8C16CB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5301B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Complete all pre-employment steps before </w:t>
            </w:r>
            <w:proofErr w:type="gramStart"/>
            <w:r>
              <w:rPr>
                <w:b/>
                <w:bCs/>
                <w:color w:val="1A1A1A"/>
                <w:sz w:val="20"/>
                <w:szCs w:val="20"/>
              </w:rPr>
              <w:t>start</w:t>
            </w:r>
            <w:proofErr w:type="gramEnd"/>
            <w:r>
              <w:rPr>
                <w:b/>
                <w:bCs/>
                <w:color w:val="1A1A1A"/>
                <w:sz w:val="20"/>
                <w:szCs w:val="20"/>
              </w:rPr>
              <w:t xml:space="preserve"> date</w:t>
            </w:r>
          </w:p>
          <w:p w14:paraId="34900F4E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Background check cleared, equipment ordered, system access set up, team notified, first-day agenda ready</w:t>
            </w:r>
          </w:p>
        </w:tc>
      </w:tr>
    </w:tbl>
    <w:p w14:paraId="41C8F396" w14:textId="77777777" w:rsidR="003B1C29" w:rsidRDefault="003B1C2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560"/>
      </w:tblGrid>
      <w:tr w:rsidR="003B1C29" w14:paraId="6181DBF2" w14:textId="77777777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199D24" w14:textId="17E5F3BF" w:rsidR="003B1C29" w:rsidRDefault="007E429E">
            <w:r>
              <w:rPr>
                <w:b/>
                <w:bCs/>
                <w:color w:val="FFFFFF"/>
                <w:sz w:val="24"/>
                <w:szCs w:val="24"/>
              </w:rPr>
              <w:t xml:space="preserve">PHASE 5: AFTER THE HIRE </w:t>
            </w:r>
            <w:r w:rsidR="00A41930">
              <w:rPr>
                <w:b/>
                <w:bCs/>
                <w:color w:val="FFFFFF"/>
                <w:sz w:val="24"/>
                <w:szCs w:val="24"/>
              </w:rPr>
              <w:t>-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Setting Up for Long-Term Success</w:t>
            </w:r>
          </w:p>
        </w:tc>
      </w:tr>
      <w:tr w:rsidR="003B1C29" w14:paraId="70B92A64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99EC0C9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8ECA3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Execute your structured 30/60/90-day onboarding plan</w:t>
            </w:r>
          </w:p>
          <w:p w14:paraId="412BB724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See the companion resource: The 5-Step Onboarding Framework</w:t>
            </w:r>
          </w:p>
        </w:tc>
      </w:tr>
      <w:tr w:rsidR="003B1C29" w14:paraId="10E222AC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72193E7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lastRenderedPageBreak/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B4D38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Schedule the week-one manager 1:1</w:t>
            </w:r>
          </w:p>
          <w:p w14:paraId="37AECB6D" w14:textId="77777777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Confirm role expectations, answer open questions, establish communication cadence</w:t>
            </w:r>
          </w:p>
        </w:tc>
      </w:tr>
      <w:tr w:rsidR="003B1C29" w14:paraId="0D7CF7F3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671D30D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925DB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Connect new hire to culture and team</w:t>
            </w:r>
          </w:p>
          <w:p w14:paraId="463E03DC" w14:textId="77777777" w:rsidR="003B1C29" w:rsidRDefault="2D65E77C">
            <w:proofErr w:type="gramStart"/>
            <w:r w:rsidRPr="2D65E77C">
              <w:rPr>
                <w:i/>
                <w:iCs/>
                <w:color w:val="636466"/>
                <w:sz w:val="18"/>
                <w:szCs w:val="18"/>
              </w:rPr>
              <w:t>Introduce to</w:t>
            </w:r>
            <w:proofErr w:type="gramEnd"/>
            <w:r w:rsidRPr="2D65E77C">
              <w:rPr>
                <w:i/>
                <w:iCs/>
                <w:color w:val="636466"/>
                <w:sz w:val="18"/>
                <w:szCs w:val="18"/>
              </w:rPr>
              <w:t xml:space="preserve"> all key stakeholders in the first two weeks make belonging intentional</w:t>
            </w:r>
          </w:p>
        </w:tc>
      </w:tr>
      <w:tr w:rsidR="003B1C29" w14:paraId="580CD5CA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9EE17A1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D0170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Track hiring metrics for continuous improvement</w:t>
            </w:r>
          </w:p>
          <w:p w14:paraId="76626F1A" w14:textId="12BA005A" w:rsidR="003B1C29" w:rsidRDefault="2D65E77C">
            <w:r w:rsidRPr="2D65E77C">
              <w:rPr>
                <w:i/>
                <w:iCs/>
                <w:color w:val="636466"/>
                <w:sz w:val="18"/>
                <w:szCs w:val="18"/>
              </w:rPr>
              <w:t>Time-to-fill, cost-per-hire, offer acceptance rate, 90-day retention build your data baseline</w:t>
            </w:r>
          </w:p>
        </w:tc>
      </w:tr>
      <w:tr w:rsidR="003B1C29" w14:paraId="4223955C" w14:textId="77777777" w:rsidTr="2D65E77C"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E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94833D8" w14:textId="77777777" w:rsidR="003B1C29" w:rsidRDefault="007E429E">
            <w:pPr>
              <w:jc w:val="center"/>
            </w:pPr>
            <w:r>
              <w:rPr>
                <w:color w:val="7BB759"/>
                <w:sz w:val="24"/>
                <w:szCs w:val="24"/>
              </w:rPr>
              <w:t>☐</w:t>
            </w:r>
          </w:p>
        </w:tc>
        <w:tc>
          <w:tcPr>
            <w:tcW w:w="8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ED105" w14:textId="77777777" w:rsidR="003B1C29" w:rsidRDefault="007E429E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Conduct a 90-day hiring process debrief</w:t>
            </w:r>
          </w:p>
          <w:p w14:paraId="52BF9DEE" w14:textId="77777777" w:rsidR="003B1C29" w:rsidRDefault="007E429E">
            <w:r>
              <w:rPr>
                <w:i/>
                <w:iCs/>
                <w:color w:val="636466"/>
                <w:sz w:val="18"/>
                <w:szCs w:val="18"/>
              </w:rPr>
              <w:t>What worked? What would you improve? Update this checklist based on your real-world experience</w:t>
            </w:r>
          </w:p>
        </w:tc>
      </w:tr>
    </w:tbl>
    <w:p w14:paraId="049F31CB" w14:textId="77777777" w:rsidR="003B1C29" w:rsidRDefault="003B1C2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1C29" w14:paraId="4565DF11" w14:textId="77777777" w:rsidTr="2D65E77C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3CE07C4" w14:textId="77777777" w:rsidR="003B1C29" w:rsidRDefault="007E429E">
            <w:pPr>
              <w:spacing w:after="60"/>
            </w:pPr>
            <w:r>
              <w:rPr>
                <w:b/>
                <w:bCs/>
                <w:color w:val="4A7A30"/>
              </w:rPr>
              <w:t xml:space="preserve">NEED </w:t>
            </w:r>
            <w:proofErr w:type="gramStart"/>
            <w:r>
              <w:rPr>
                <w:b/>
                <w:bCs/>
                <w:color w:val="4A7A30"/>
              </w:rPr>
              <w:t>SUPPORT</w:t>
            </w:r>
            <w:proofErr w:type="gramEnd"/>
            <w:r>
              <w:rPr>
                <w:b/>
                <w:bCs/>
                <w:color w:val="4A7A30"/>
              </w:rPr>
              <w:t xml:space="preserve"> BUILDING YOUR HIRING PROCESS?</w:t>
            </w:r>
          </w:p>
          <w:p w14:paraId="4FA0CA52" w14:textId="59D3065F" w:rsidR="003B1C29" w:rsidRDefault="2D65E77C">
            <w:pPr>
              <w:spacing w:after="80"/>
            </w:pPr>
            <w:r w:rsidRPr="2D65E77C">
              <w:rPr>
                <w:color w:val="1A1A1A"/>
                <w:sz w:val="20"/>
                <w:szCs w:val="20"/>
              </w:rPr>
              <w:t>Epiphany's Recruitment-as-a-Service (RaaS) puts expert HR recruiters in your corner handling sourcing, screening, and selection while you focus on running the business. Available as a standalone service add-on for any tier.</w:t>
            </w:r>
          </w:p>
          <w:p w14:paraId="53128261" w14:textId="77777777" w:rsidR="003B1C29" w:rsidRDefault="003B1C29">
            <w:pPr>
              <w:spacing w:before="60"/>
            </w:pPr>
          </w:p>
          <w:p w14:paraId="09C49FCE" w14:textId="4A396A09" w:rsidR="003B1C29" w:rsidRDefault="007E429E">
            <w:pPr>
              <w:spacing w:after="80"/>
            </w:pPr>
            <w:r w:rsidRPr="00610BA2">
              <w:rPr>
                <w:sz w:val="20"/>
                <w:szCs w:val="20"/>
              </w:rPr>
              <w:t xml:space="preserve">Book your complimentary discovery </w:t>
            </w:r>
            <w:proofErr w:type="gramStart"/>
            <w:r w:rsidRPr="00610BA2">
              <w:rPr>
                <w:sz w:val="20"/>
                <w:szCs w:val="20"/>
              </w:rPr>
              <w:t>call</w:t>
            </w:r>
            <w:proofErr w:type="gramEnd"/>
            <w:r w:rsidRPr="00610BA2">
              <w:rPr>
                <w:sz w:val="20"/>
                <w:szCs w:val="20"/>
              </w:rPr>
              <w:t xml:space="preserve"> here: </w:t>
            </w:r>
            <w:r w:rsidRPr="00610BA2">
              <w:rPr>
                <w:b/>
                <w:bCs/>
                <w:sz w:val="20"/>
                <w:szCs w:val="20"/>
              </w:rPr>
              <w:t>https://bit.ly/EpiphanyHR</w:t>
            </w:r>
          </w:p>
        </w:tc>
      </w:tr>
    </w:tbl>
    <w:p w14:paraId="62486C05" w14:textId="77777777" w:rsidR="003B1C29" w:rsidRDefault="003B1C29">
      <w:pPr>
        <w:spacing w:before="200"/>
      </w:pPr>
    </w:p>
    <w:p w14:paraId="0DA179EF" w14:textId="72DB5089" w:rsidR="003B1C29" w:rsidRDefault="003B1C29" w:rsidP="2D65E77C">
      <w:pPr>
        <w:spacing w:before="20" w:after="80"/>
        <w:jc w:val="center"/>
      </w:pPr>
    </w:p>
    <w:sectPr w:rsidR="003B1C29">
      <w:headerReference w:type="default" r:id="rId7"/>
      <w:footerReference w:type="default" r:id="rId8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1C3A" w14:textId="77777777" w:rsidR="00FA56CF" w:rsidRDefault="00FA56CF" w:rsidP="00E30B9E">
      <w:r>
        <w:separator/>
      </w:r>
    </w:p>
  </w:endnote>
  <w:endnote w:type="continuationSeparator" w:id="0">
    <w:p w14:paraId="350E75BC" w14:textId="77777777" w:rsidR="00FA56CF" w:rsidRDefault="00FA56CF" w:rsidP="00E3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8D9A" w14:textId="77777777" w:rsidR="00112D62" w:rsidRDefault="00112D62" w:rsidP="00112D62">
    <w:pPr>
      <w:pBdr>
        <w:bottom w:val="single" w:sz="6" w:space="1" w:color="636466"/>
      </w:pBdr>
      <w:spacing w:before="80" w:after="160"/>
    </w:pPr>
  </w:p>
  <w:p w14:paraId="69A60956" w14:textId="77777777" w:rsidR="00112D62" w:rsidRPr="000004AE" w:rsidRDefault="00112D62" w:rsidP="00112D62">
    <w:pPr>
      <w:spacing w:before="80"/>
      <w:jc w:val="center"/>
      <w:rPr>
        <w:color w:val="595959" w:themeColor="text1" w:themeTint="A6"/>
        <w:sz w:val="16"/>
        <w:szCs w:val="16"/>
      </w:rPr>
    </w:pPr>
    <w:r w:rsidRPr="00EF24AE">
      <w:rPr>
        <w:color w:val="0D0D0D" w:themeColor="text1" w:themeTint="F2"/>
        <w:sz w:val="16"/>
        <w:szCs w:val="16"/>
      </w:rPr>
      <w:t xml:space="preserve">© 2026 Epiphany HR Solutions. All Rights Reserved. | </w:t>
    </w:r>
    <w:r w:rsidRPr="00EF24AE">
      <w:rPr>
        <w:color w:val="4EA72E" w:themeColor="accent6"/>
        <w:sz w:val="16"/>
        <w:szCs w:val="16"/>
      </w:rPr>
      <w:t>Strategic HR Simplified</w:t>
    </w:r>
  </w:p>
  <w:p w14:paraId="385715BC" w14:textId="1E815DFD" w:rsidR="00112D62" w:rsidRPr="00112D62" w:rsidRDefault="00112D62" w:rsidP="00112D62">
    <w:pPr>
      <w:spacing w:before="80"/>
      <w:jc w:val="center"/>
      <w:rPr>
        <w:color w:val="0D0D0D" w:themeColor="text1" w:themeTint="F2"/>
      </w:rPr>
    </w:pPr>
    <w:r w:rsidRPr="000004AE">
      <w:rPr>
        <w:color w:val="595959" w:themeColor="text1" w:themeTint="A6"/>
        <w:sz w:val="16"/>
        <w:szCs w:val="16"/>
      </w:rPr>
      <w:t xml:space="preserve"> </w:t>
    </w:r>
    <w:r w:rsidRPr="00EF24AE">
      <w:rPr>
        <w:color w:val="0D0D0D" w:themeColor="text1" w:themeTint="F2"/>
        <w:sz w:val="16"/>
        <w:szCs w:val="16"/>
      </w:rPr>
      <w:t xml:space="preserve">  www.epiphanyhrsolutions.com   |   info@epiphanyhrsolutions.com</w:t>
    </w:r>
    <w:r w:rsidRPr="00EF24AE">
      <w:rPr>
        <w:color w:val="0D0D0D" w:themeColor="text1" w:themeTint="F2"/>
      </w:rPr>
      <w:t xml:space="preserve"> </w:t>
    </w:r>
    <w:r w:rsidRPr="00EF24AE">
      <w:rPr>
        <w:color w:val="0D0D0D" w:themeColor="text1" w:themeTint="F2"/>
        <w:sz w:val="16"/>
        <w:szCs w:val="16"/>
      </w:rPr>
      <w:t>| Cincinnati, Ohio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6110" w14:textId="77777777" w:rsidR="00FA56CF" w:rsidRDefault="00FA56CF" w:rsidP="00E30B9E">
      <w:r>
        <w:separator/>
      </w:r>
    </w:p>
  </w:footnote>
  <w:footnote w:type="continuationSeparator" w:id="0">
    <w:p w14:paraId="0FB63A37" w14:textId="77777777" w:rsidR="00FA56CF" w:rsidRDefault="00FA56CF" w:rsidP="00E3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ABDC" w14:textId="60435F39" w:rsidR="00E30B9E" w:rsidRDefault="00E30B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8FCFB" wp14:editId="4862EC7A">
          <wp:simplePos x="0" y="0"/>
          <wp:positionH relativeFrom="column">
            <wp:posOffset>5292090</wp:posOffset>
          </wp:positionH>
          <wp:positionV relativeFrom="paragraph">
            <wp:posOffset>-176432</wp:posOffset>
          </wp:positionV>
          <wp:extent cx="962025" cy="474345"/>
          <wp:effectExtent l="0" t="0" r="9525" b="1905"/>
          <wp:wrapSquare wrapText="bothSides"/>
          <wp:docPr id="372751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1584" name="Picture 372751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3" b="1960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961"/>
    <w:multiLevelType w:val="hybridMultilevel"/>
    <w:tmpl w:val="5170AEBE"/>
    <w:lvl w:ilvl="0" w:tplc="45D681B0">
      <w:start w:val="1"/>
      <w:numFmt w:val="bullet"/>
      <w:lvlText w:val="●"/>
      <w:lvlJc w:val="left"/>
      <w:pPr>
        <w:ind w:left="720" w:hanging="360"/>
      </w:pPr>
    </w:lvl>
    <w:lvl w:ilvl="1" w:tplc="A0EA9CFC">
      <w:start w:val="1"/>
      <w:numFmt w:val="bullet"/>
      <w:lvlText w:val="○"/>
      <w:lvlJc w:val="left"/>
      <w:pPr>
        <w:ind w:left="1440" w:hanging="360"/>
      </w:pPr>
    </w:lvl>
    <w:lvl w:ilvl="2" w:tplc="FA844BF2">
      <w:start w:val="1"/>
      <w:numFmt w:val="bullet"/>
      <w:lvlText w:val="■"/>
      <w:lvlJc w:val="left"/>
      <w:pPr>
        <w:ind w:left="2160" w:hanging="360"/>
      </w:pPr>
    </w:lvl>
    <w:lvl w:ilvl="3" w:tplc="F95A9798">
      <w:start w:val="1"/>
      <w:numFmt w:val="bullet"/>
      <w:lvlText w:val="●"/>
      <w:lvlJc w:val="left"/>
      <w:pPr>
        <w:ind w:left="2880" w:hanging="360"/>
      </w:pPr>
    </w:lvl>
    <w:lvl w:ilvl="4" w:tplc="4D6C8D38">
      <w:start w:val="1"/>
      <w:numFmt w:val="bullet"/>
      <w:lvlText w:val="○"/>
      <w:lvlJc w:val="left"/>
      <w:pPr>
        <w:ind w:left="3600" w:hanging="360"/>
      </w:pPr>
    </w:lvl>
    <w:lvl w:ilvl="5" w:tplc="28EEBE3E">
      <w:start w:val="1"/>
      <w:numFmt w:val="bullet"/>
      <w:lvlText w:val="■"/>
      <w:lvlJc w:val="left"/>
      <w:pPr>
        <w:ind w:left="4320" w:hanging="360"/>
      </w:pPr>
    </w:lvl>
    <w:lvl w:ilvl="6" w:tplc="DA98AAB2">
      <w:start w:val="1"/>
      <w:numFmt w:val="bullet"/>
      <w:lvlText w:val="●"/>
      <w:lvlJc w:val="left"/>
      <w:pPr>
        <w:ind w:left="5040" w:hanging="360"/>
      </w:pPr>
    </w:lvl>
    <w:lvl w:ilvl="7" w:tplc="E52EDB5E">
      <w:start w:val="1"/>
      <w:numFmt w:val="bullet"/>
      <w:lvlText w:val="●"/>
      <w:lvlJc w:val="left"/>
      <w:pPr>
        <w:ind w:left="5760" w:hanging="360"/>
      </w:pPr>
    </w:lvl>
    <w:lvl w:ilvl="8" w:tplc="2BF6EC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815A8C"/>
    <w:multiLevelType w:val="hybridMultilevel"/>
    <w:tmpl w:val="E59299EE"/>
    <w:lvl w:ilvl="0" w:tplc="A5600426">
      <w:start w:val="1"/>
      <w:numFmt w:val="bullet"/>
      <w:lvlText w:val="•"/>
      <w:lvlJc w:val="left"/>
      <w:pPr>
        <w:ind w:left="640" w:hanging="320"/>
      </w:pPr>
    </w:lvl>
    <w:lvl w:ilvl="1" w:tplc="9738B1F4">
      <w:numFmt w:val="decimal"/>
      <w:lvlText w:val=""/>
      <w:lvlJc w:val="left"/>
    </w:lvl>
    <w:lvl w:ilvl="2" w:tplc="734481D0">
      <w:numFmt w:val="decimal"/>
      <w:lvlText w:val=""/>
      <w:lvlJc w:val="left"/>
    </w:lvl>
    <w:lvl w:ilvl="3" w:tplc="934C66D8">
      <w:numFmt w:val="decimal"/>
      <w:lvlText w:val=""/>
      <w:lvlJc w:val="left"/>
    </w:lvl>
    <w:lvl w:ilvl="4" w:tplc="C7A0BBDA">
      <w:numFmt w:val="decimal"/>
      <w:lvlText w:val=""/>
      <w:lvlJc w:val="left"/>
    </w:lvl>
    <w:lvl w:ilvl="5" w:tplc="3ACC032A">
      <w:numFmt w:val="decimal"/>
      <w:lvlText w:val=""/>
      <w:lvlJc w:val="left"/>
    </w:lvl>
    <w:lvl w:ilvl="6" w:tplc="AF40A7BA">
      <w:numFmt w:val="decimal"/>
      <w:lvlText w:val=""/>
      <w:lvlJc w:val="left"/>
    </w:lvl>
    <w:lvl w:ilvl="7" w:tplc="0AC6AE06">
      <w:numFmt w:val="decimal"/>
      <w:lvlText w:val=""/>
      <w:lvlJc w:val="left"/>
    </w:lvl>
    <w:lvl w:ilvl="8" w:tplc="BA0AB558">
      <w:numFmt w:val="decimal"/>
      <w:lvlText w:val=""/>
      <w:lvlJc w:val="left"/>
    </w:lvl>
  </w:abstractNum>
  <w:abstractNum w:abstractNumId="2" w15:restartNumberingAfterBreak="0">
    <w:nsid w:val="603104AD"/>
    <w:multiLevelType w:val="hybridMultilevel"/>
    <w:tmpl w:val="39A4B354"/>
    <w:lvl w:ilvl="0" w:tplc="45EA9FC6">
      <w:start w:val="1"/>
      <w:numFmt w:val="decimal"/>
      <w:lvlText w:val="%1."/>
      <w:lvlJc w:val="left"/>
      <w:pPr>
        <w:ind w:left="640" w:hanging="320"/>
      </w:pPr>
    </w:lvl>
    <w:lvl w:ilvl="1" w:tplc="004470D0">
      <w:numFmt w:val="decimal"/>
      <w:lvlText w:val=""/>
      <w:lvlJc w:val="left"/>
    </w:lvl>
    <w:lvl w:ilvl="2" w:tplc="354AC2A4">
      <w:numFmt w:val="decimal"/>
      <w:lvlText w:val=""/>
      <w:lvlJc w:val="left"/>
    </w:lvl>
    <w:lvl w:ilvl="3" w:tplc="8C3C7B16">
      <w:numFmt w:val="decimal"/>
      <w:lvlText w:val=""/>
      <w:lvlJc w:val="left"/>
    </w:lvl>
    <w:lvl w:ilvl="4" w:tplc="61A8FF3A">
      <w:numFmt w:val="decimal"/>
      <w:lvlText w:val=""/>
      <w:lvlJc w:val="left"/>
    </w:lvl>
    <w:lvl w:ilvl="5" w:tplc="E534C1D4">
      <w:numFmt w:val="decimal"/>
      <w:lvlText w:val=""/>
      <w:lvlJc w:val="left"/>
    </w:lvl>
    <w:lvl w:ilvl="6" w:tplc="7E26E8D4">
      <w:numFmt w:val="decimal"/>
      <w:lvlText w:val=""/>
      <w:lvlJc w:val="left"/>
    </w:lvl>
    <w:lvl w:ilvl="7" w:tplc="92C897CE">
      <w:numFmt w:val="decimal"/>
      <w:lvlText w:val=""/>
      <w:lvlJc w:val="left"/>
    </w:lvl>
    <w:lvl w:ilvl="8" w:tplc="6310E488">
      <w:numFmt w:val="decimal"/>
      <w:lvlText w:val=""/>
      <w:lvlJc w:val="left"/>
    </w:lvl>
  </w:abstractNum>
  <w:num w:numId="1" w16cid:durableId="3625118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4D355F"/>
    <w:rsid w:val="00112D62"/>
    <w:rsid w:val="002E1427"/>
    <w:rsid w:val="003B1C29"/>
    <w:rsid w:val="00487DCC"/>
    <w:rsid w:val="007E429E"/>
    <w:rsid w:val="00A41930"/>
    <w:rsid w:val="00C40EEF"/>
    <w:rsid w:val="00CE7441"/>
    <w:rsid w:val="00E30B9E"/>
    <w:rsid w:val="00E51C36"/>
    <w:rsid w:val="00FA56CF"/>
    <w:rsid w:val="214D355F"/>
    <w:rsid w:val="2D65E77C"/>
    <w:rsid w:val="3D750726"/>
    <w:rsid w:val="3E384325"/>
    <w:rsid w:val="51428681"/>
    <w:rsid w:val="54CB6C7D"/>
    <w:rsid w:val="749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E6B6"/>
  <w15:docId w15:val="{40658E73-A307-4245-88F7-7DB66424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60" w:after="160"/>
      <w:outlineLvl w:val="0"/>
    </w:pPr>
    <w:rPr>
      <w:b/>
      <w:bCs/>
      <w:sz w:val="36"/>
      <w:szCs w:val="36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0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B9E"/>
  </w:style>
  <w:style w:type="paragraph" w:styleId="Footer">
    <w:name w:val="footer"/>
    <w:basedOn w:val="Normal"/>
    <w:link w:val="FooterChar"/>
    <w:uiPriority w:val="99"/>
    <w:unhideWhenUsed/>
    <w:rsid w:val="00E30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9b7daf-2168-4222-bb91-53c387adb9bf}" enabled="0" method="" siteId="{ec9b7daf-2168-4222-bb91-53c387adb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Garcia</cp:lastModifiedBy>
  <cp:revision>9</cp:revision>
  <dcterms:created xsi:type="dcterms:W3CDTF">2026-03-27T12:49:00Z</dcterms:created>
  <dcterms:modified xsi:type="dcterms:W3CDTF">2026-04-08T18:15:00Z</dcterms:modified>
</cp:coreProperties>
</file>